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FF" w:rsidRPr="00FF6D9F" w:rsidRDefault="00D635FF" w:rsidP="00D63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нтернет-семінар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тему: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«Підвищення якості освітніх послуг в умовах інноваційного середовища системи професійної (професійно-технічної)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який проводився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 листопада 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НМЦ ПТО у Рівненській обл. </w:t>
      </w:r>
      <w:bookmarkStart w:id="0" w:name="_GoBack"/>
      <w:bookmarkEnd w:id="0"/>
    </w:p>
    <w:p w:rsidR="00D635FF" w:rsidRDefault="00D635FF" w:rsidP="00FF6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5FF" w:rsidRDefault="00D635FF" w:rsidP="00FF6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таття на тему: «</w:t>
      </w:r>
      <w:r w:rsidR="00FF6D9F" w:rsidRPr="00FF6D9F">
        <w:rPr>
          <w:rFonts w:ascii="Times New Roman" w:hAnsi="Times New Roman" w:cs="Times New Roman"/>
          <w:b/>
          <w:sz w:val="28"/>
          <w:szCs w:val="28"/>
          <w:lang w:val="uk-UA"/>
        </w:rPr>
        <w:t>Протидія булінг</w:t>
      </w:r>
      <w:r w:rsidR="00FF6D9F">
        <w:rPr>
          <w:rFonts w:ascii="Times New Roman" w:hAnsi="Times New Roman" w:cs="Times New Roman"/>
          <w:b/>
          <w:sz w:val="28"/>
          <w:szCs w:val="28"/>
          <w:lang w:val="uk-UA"/>
        </w:rPr>
        <w:t>у (цькуванню) в закладах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вихователя ДПТНЗ «Рівненський центр ПТО сервісу та дизайну» </w:t>
      </w:r>
    </w:p>
    <w:p w:rsidR="00FF6D9F" w:rsidRPr="00FF6D9F" w:rsidRDefault="00D635FF" w:rsidP="00FF6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Мудрої Ірини Миколаївни</w:t>
      </w:r>
    </w:p>
    <w:p w:rsidR="004D5316" w:rsidRPr="00FF6D9F" w:rsidRDefault="004D5316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Реформа освіти в Україні </w:t>
      </w:r>
      <w:r w:rsidR="00F51979" w:rsidRPr="00FF6D9F">
        <w:rPr>
          <w:rFonts w:ascii="Times New Roman" w:hAnsi="Times New Roman" w:cs="Times New Roman"/>
          <w:sz w:val="28"/>
          <w:szCs w:val="28"/>
          <w:lang w:val="uk-UA"/>
        </w:rPr>
        <w:t>продовжує набирати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обертів. Для освітян постало складне і відповідальне завдання створити таку</w:t>
      </w:r>
      <w:r w:rsidR="004D037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систему освіти, яка б була ефективною 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вже сьогодні </w:t>
      </w:r>
      <w:r w:rsidR="00634965" w:rsidRPr="00FF6D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965" w:rsidRPr="00FF6D9F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4D037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показувала високі результати на міжнародному рівні.</w:t>
      </w:r>
    </w:p>
    <w:p w:rsidR="00F51979" w:rsidRPr="00FF6D9F" w:rsidRDefault="003C654D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>просторі під назвою «Освіта»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кожен з нас проводить немаленьку частину свого життя. Починаючи з дошкільного навчального закладу і аж до вищого навчального закладу </w:t>
      </w:r>
      <w:r w:rsidR="00E25648" w:rsidRPr="00FF6D9F">
        <w:rPr>
          <w:rFonts w:ascii="Times New Roman" w:hAnsi="Times New Roman" w:cs="Times New Roman"/>
          <w:sz w:val="28"/>
          <w:szCs w:val="28"/>
          <w:lang w:val="uk-UA"/>
        </w:rPr>
        <w:t>– весь цей час дитина знаходиться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>освітньому середовищі, яке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є простором для навчання, виховання і всебічного розвитку особистості.</w:t>
      </w:r>
      <w:r w:rsidR="00E25648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важливу роль відіграє атмосфера закладу освіти, яка може бути 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E25648" w:rsidRPr="00FF6D9F">
        <w:rPr>
          <w:rFonts w:ascii="Times New Roman" w:hAnsi="Times New Roman" w:cs="Times New Roman"/>
          <w:sz w:val="28"/>
          <w:szCs w:val="28"/>
          <w:lang w:val="uk-UA"/>
        </w:rPr>
        <w:t>соціально та психологічно сприятливою і на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648" w:rsidRPr="00FF6D9F">
        <w:rPr>
          <w:rFonts w:ascii="Times New Roman" w:hAnsi="Times New Roman" w:cs="Times New Roman"/>
          <w:sz w:val="28"/>
          <w:szCs w:val="28"/>
          <w:lang w:val="uk-UA"/>
        </w:rPr>
        <w:t>жаль навпаки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>, нести несприятливі ситуації з проявами психологічного та емоційного насильства.</w:t>
      </w:r>
    </w:p>
    <w:p w:rsidR="00BF4AFF" w:rsidRPr="00FF6D9F" w:rsidRDefault="00F51979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Сьогодні педагоги</w:t>
      </w:r>
      <w:r w:rsidR="00AC2CAA" w:rsidRPr="00FF6D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4AFF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батьки, учнівська молодь – всі </w:t>
      </w:r>
      <w:r w:rsidR="00AC2CAA" w:rsidRPr="00FF6D9F">
        <w:rPr>
          <w:rFonts w:ascii="Times New Roman" w:hAnsi="Times New Roman" w:cs="Times New Roman"/>
          <w:sz w:val="28"/>
          <w:szCs w:val="28"/>
          <w:lang w:val="uk-UA"/>
        </w:rPr>
        <w:t>є свідками активіз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ації таких форм насильства як б</w:t>
      </w:r>
      <w:r w:rsidR="00AC2CAA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улінг, секстинг, кібербулінг, онлайн-грумінг. 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FF6D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62E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65E7D" w:rsidRPr="00D635FF">
        <w:rPr>
          <w:rFonts w:ascii="Times New Roman" w:hAnsi="Times New Roman" w:cs="Times New Roman"/>
          <w:sz w:val="28"/>
          <w:szCs w:val="28"/>
        </w:rPr>
        <w:t>8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174346" w:rsidRPr="00FF6D9F" w:rsidRDefault="00174346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не має стати нормою поведінки в групі (класі) і не має залишитись поза увагою. </w:t>
      </w:r>
      <w:r w:rsidR="00FF6D9F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Булінг (цькування) є груповим явищем і впливає на поведінку і почуття кожного зі сторін.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Протидія булінгу (цькуванню) </w:t>
      </w:r>
      <w:r w:rsidR="0052684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полягає в плануванні та реалізації ряду заходів, способів, методів, які спрямовані на відновлення та нормалізацію психологічного клімату у колективі після випадку булінгу (цькування) та уникнення повторення випадку як в окремій групі/класі так і в закладі освіти.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A04" w:rsidRPr="00FF6D9F">
        <w:rPr>
          <w:rFonts w:ascii="Times New Roman" w:hAnsi="Times New Roman" w:cs="Times New Roman"/>
          <w:sz w:val="28"/>
          <w:szCs w:val="28"/>
        </w:rPr>
        <w:t>[5</w:t>
      </w:r>
      <w:r w:rsidR="004462E9" w:rsidRPr="00D635FF">
        <w:rPr>
          <w:rFonts w:ascii="Times New Roman" w:hAnsi="Times New Roman" w:cs="Times New Roman"/>
          <w:sz w:val="28"/>
          <w:szCs w:val="28"/>
        </w:rPr>
        <w:t xml:space="preserve">, </w:t>
      </w:r>
      <w:r w:rsidR="004462E9">
        <w:rPr>
          <w:rFonts w:ascii="Times New Roman" w:hAnsi="Times New Roman" w:cs="Times New Roman"/>
          <w:sz w:val="28"/>
          <w:szCs w:val="28"/>
          <w:lang w:val="uk-UA"/>
        </w:rPr>
        <w:t>с 1</w:t>
      </w:r>
      <w:r w:rsidR="00173A04" w:rsidRPr="00FF6D9F">
        <w:rPr>
          <w:rFonts w:ascii="Times New Roman" w:hAnsi="Times New Roman" w:cs="Times New Roman"/>
          <w:sz w:val="28"/>
          <w:szCs w:val="28"/>
        </w:rPr>
        <w:t>]</w:t>
      </w:r>
    </w:p>
    <w:p w:rsidR="00174346" w:rsidRPr="00FF6D9F" w:rsidRDefault="00FF6D9F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Модулі 4, Лекції 1 говориться, що г</w:t>
      </w:r>
      <w:r w:rsidR="00174346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оловними є ряд тверджень, на яких </w:t>
      </w:r>
      <w:r w:rsidR="00026A75" w:rsidRPr="00FF6D9F">
        <w:rPr>
          <w:rFonts w:ascii="Times New Roman" w:hAnsi="Times New Roman" w:cs="Times New Roman"/>
          <w:sz w:val="28"/>
          <w:szCs w:val="28"/>
          <w:lang w:val="uk-UA"/>
        </w:rPr>
        <w:t>ґрунтується вся робота з протидії булінгу (цькуванню) в закладі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якими я повністю згідна</w:t>
      </w:r>
      <w:r w:rsidR="00026A75" w:rsidRPr="00FF6D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6A75" w:rsidRPr="00FF6D9F" w:rsidRDefault="00026A75" w:rsidP="00FF6D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усі учасники групи/класу, де виявлений булінг (цькування), потребують формування емоційних та соціальних компетентностей;</w:t>
      </w:r>
    </w:p>
    <w:p w:rsidR="00026A75" w:rsidRPr="00FF6D9F" w:rsidRDefault="00026A75" w:rsidP="00FF6D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діти мають вчитись толерантності;</w:t>
      </w:r>
    </w:p>
    <w:p w:rsidR="00026A75" w:rsidRPr="00FF6D9F" w:rsidRDefault="00FD244A" w:rsidP="00FF6D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після випадку булінгу (цькування) весь колектив групи/класу мають брати участь в заходах з нормалізації та відновлення психологічного клімату</w:t>
      </w:r>
      <w:r w:rsidR="008B6059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і створення сприятливого для навчання і роботи освітнього середовища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244A" w:rsidRPr="00FF6D9F" w:rsidRDefault="00FD244A" w:rsidP="00FF6D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діти мають розуміти яка саме поведінка є неприпустимою в міжособистісних стосунках.</w:t>
      </w:r>
    </w:p>
    <w:p w:rsidR="00765E9C" w:rsidRPr="00FF6D9F" w:rsidRDefault="00765E9C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Батьки теж мають проявляти ініціативу з попередження </w:t>
      </w:r>
      <w:r w:rsidR="00BF4AFF" w:rsidRPr="00FF6D9F">
        <w:rPr>
          <w:rFonts w:ascii="Times New Roman" w:hAnsi="Times New Roman" w:cs="Times New Roman"/>
          <w:sz w:val="28"/>
          <w:szCs w:val="28"/>
          <w:lang w:val="uk-UA"/>
        </w:rPr>
        <w:t>боулінгу (цькування)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, наприклад розвивати у своєї дитини толерантне ставлення до оточуючих, якого сьогодні на</w:t>
      </w:r>
      <w:r w:rsidR="00632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жаль не вистачає у наших дітях.</w:t>
      </w:r>
    </w:p>
    <w:p w:rsidR="005C4899" w:rsidRPr="00FF6D9F" w:rsidRDefault="00461039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Впродовж всього періоду роботи в освітньому середовищі навчається і розвивається </w:t>
      </w:r>
      <w:r w:rsidR="00BF4AFF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і педагог</w:t>
      </w:r>
      <w:r w:rsidR="00BF4AFF" w:rsidRPr="00FF6D9F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в період реформ </w:t>
      </w:r>
      <w:r w:rsidR="00BF4AFF" w:rsidRPr="00FF6D9F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96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Завдяки можл</w:t>
      </w:r>
      <w:r w:rsidR="00BF4AFF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ивостям який відкриває інтернет, </w:t>
      </w:r>
      <w:r w:rsidR="00634965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навчатися, вдосконалювати свої знання, підвищувати кваліфікацію стало простіше і легше. Не виняток і проблема булінгу (цькування), про яку говорять всі, але ще не знають що і як правильно робити, реагувати і так далі.</w:t>
      </w:r>
    </w:p>
    <w:p w:rsidR="00BF4AFF" w:rsidRPr="00FF6D9F" w:rsidRDefault="00BF4AFF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Ще рік тому в одному з періодичних видань я прочитала статтю про те, що прийшов до нас (закладів освіти) такий собі «булінг», а ми не знаємо, що з ним робити. Але нам, педагогам, не властиво зупинятись. Тому…</w:t>
      </w:r>
    </w:p>
    <w:p w:rsidR="004D0375" w:rsidRPr="00FF6D9F" w:rsidRDefault="004D0375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Що таке булінг (цькування)? </w:t>
      </w:r>
      <w:r w:rsidR="00F51979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FF6D9F">
        <w:rPr>
          <w:rFonts w:ascii="Times New Roman" w:hAnsi="Times New Roman" w:cs="Times New Roman"/>
          <w:sz w:val="28"/>
          <w:szCs w:val="28"/>
          <w:lang w:val="uk-UA"/>
        </w:rPr>
        <w:t>себе поводити</w:t>
      </w:r>
      <w:r w:rsidR="00F51979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вчителю/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вчительці, учню/учениці, коли він/вона стають свідками ситуації? Як організувати роботу з протидії та попередження булінгу (цькування) в закладі освіти? Як </w:t>
      </w:r>
      <w:r w:rsidR="00FF6D9F">
        <w:rPr>
          <w:rFonts w:ascii="Times New Roman" w:hAnsi="Times New Roman" w:cs="Times New Roman"/>
          <w:sz w:val="28"/>
          <w:szCs w:val="28"/>
          <w:lang w:val="uk-UA"/>
        </w:rPr>
        <w:t xml:space="preserve">моніторити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булінгу (цькування) в колективі? Як </w:t>
      </w:r>
      <w:r w:rsidR="00FF6D9F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у разі його виявлення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? До кого звертатись </w:t>
      </w:r>
      <w:r w:rsidR="00FF6D9F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? Які </w:t>
      </w:r>
      <w:r w:rsidR="00FF6D9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>практичні інструменти на випадок якщо він/вона стає учасником булінгу (цькування) в освітньому процесі? На ці та інші запитання можна знайти відповіді на безкоштовному курсі «Протидія та попередження булінгу (цькуванню) в закладах освіти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>, який був створений за ініціат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>иви Міністерства освіти і науки,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>іжнародного фонду «Відродження» та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громадського пр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>оє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>кту масових відкритих онлайн-курсів «</w:t>
      </w:r>
      <w:r w:rsidR="002D110E" w:rsidRPr="00FF6D9F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A04" w:rsidRPr="00FF6D9F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B22832" w:rsidRPr="00FF6D9F" w:rsidRDefault="00B22832" w:rsidP="00FF6D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7243" cy="20719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29" r="1256" b="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27" cy="20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Онлайн курс містить п’ять модулів: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Модуль 1. Булінг (цькування) як явище, його форми та учасники.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Модуль 2. Організація протидії та попередження булінгу (цькування) в закладі освіти.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Модуль 3. Діагностика булінгу (цькування) в закладі освіти.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Модуль 4. Протидія булінгу (цькування).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Модуль 5. Профілактика та попередження булінгу (цькування) в закладах освіти.</w:t>
      </w:r>
      <w:r w:rsidR="00173A04" w:rsidRPr="00FF6D9F">
        <w:rPr>
          <w:rFonts w:ascii="Times New Roman" w:hAnsi="Times New Roman" w:cs="Times New Roman"/>
          <w:sz w:val="28"/>
          <w:szCs w:val="28"/>
        </w:rPr>
        <w:t xml:space="preserve"> </w:t>
      </w:r>
      <w:r w:rsidR="004462E9">
        <w:rPr>
          <w:rFonts w:ascii="Times New Roman" w:hAnsi="Times New Roman" w:cs="Times New Roman"/>
          <w:sz w:val="28"/>
          <w:szCs w:val="28"/>
        </w:rPr>
        <w:t>[</w:t>
      </w:r>
      <w:r w:rsidR="004462E9" w:rsidRPr="00D635FF">
        <w:rPr>
          <w:rFonts w:ascii="Times New Roman" w:hAnsi="Times New Roman" w:cs="Times New Roman"/>
          <w:sz w:val="28"/>
          <w:szCs w:val="28"/>
        </w:rPr>
        <w:t>6</w:t>
      </w:r>
      <w:r w:rsidR="001069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62E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069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3A04" w:rsidRPr="00FF6D9F">
        <w:rPr>
          <w:rFonts w:ascii="Times New Roman" w:hAnsi="Times New Roman" w:cs="Times New Roman"/>
          <w:sz w:val="28"/>
          <w:szCs w:val="28"/>
        </w:rPr>
        <w:t>]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 кожному модулі є 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цікаві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>лекції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, презентації, конспекти, додатки, які повністю розкривають кожну тему модуля. Але якщо слухачеві не вдається знайти відповіді на своє запитання, його можна поставити на форумі та отримати рекомендації ві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>д авторів курсу або навіть спів</w:t>
      </w:r>
      <w:r w:rsidR="00173A04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слухачів, в яких була подібна ситуація.</w:t>
      </w:r>
    </w:p>
    <w:p w:rsidR="008F2F67" w:rsidRPr="00FF6D9F" w:rsidRDefault="008F2F67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Важливо зазначити, що цей курс</w:t>
      </w:r>
      <w:r w:rsidR="00A67CB1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допоможе опанувати практичні знання для роботи з ситуаціями, створити систему запобігання випадкам.</w:t>
      </w:r>
    </w:p>
    <w:p w:rsidR="00A67CB1" w:rsidRDefault="00A67CB1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Після завершення даного курсу слухач отримує сертифік</w:t>
      </w:r>
      <w:r w:rsidR="001D09C6" w:rsidRPr="00FF6D9F">
        <w:rPr>
          <w:rFonts w:ascii="Times New Roman" w:hAnsi="Times New Roman" w:cs="Times New Roman"/>
          <w:sz w:val="28"/>
          <w:szCs w:val="28"/>
          <w:lang w:val="uk-UA"/>
        </w:rPr>
        <w:t>ат про успішне завершення курсу, який розрахований на 80 годин навчання.</w:t>
      </w:r>
    </w:p>
    <w:p w:rsidR="001069EB" w:rsidRPr="001069EB" w:rsidRDefault="001069EB" w:rsidP="001069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7614" cy="20820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283" t="24868" r="26380" b="1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20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0E" w:rsidRPr="00FF6D9F" w:rsidRDefault="001D09C6" w:rsidP="00FF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Даний онлайн-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="00A67CB1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раджу пройти всім</w:t>
      </w:r>
      <w:r w:rsidR="00765E9C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закладу освіти</w:t>
      </w:r>
      <w:r w:rsidR="00A67CB1" w:rsidRPr="00FF6D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CB1" w:rsidRPr="00FF6D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також внести до списку обов’язкових курсів підвищення кваліфікації</w:t>
      </w:r>
      <w:r w:rsidR="00765E9C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всіх педагогів і навіть інтегрувати </w:t>
      </w:r>
      <w:r w:rsidR="001069EB">
        <w:rPr>
          <w:rFonts w:ascii="Times New Roman" w:hAnsi="Times New Roman" w:cs="Times New Roman"/>
          <w:sz w:val="28"/>
          <w:szCs w:val="28"/>
          <w:lang w:val="uk-UA"/>
        </w:rPr>
        <w:t>даний матеріал</w:t>
      </w:r>
      <w:r w:rsidR="00765E9C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в свої заняття із застосуванням різноманітних активностей</w:t>
      </w:r>
      <w:r w:rsidR="002D110E" w:rsidRPr="00FF6D9F">
        <w:rPr>
          <w:rFonts w:ascii="Times New Roman" w:hAnsi="Times New Roman" w:cs="Times New Roman"/>
          <w:sz w:val="28"/>
          <w:szCs w:val="28"/>
          <w:lang w:val="uk-UA"/>
        </w:rPr>
        <w:t>, тому що з булінгом (цькуванням) самостійно справитись неможливо. Це має бути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колективна систематична робота, яка </w:t>
      </w:r>
      <w:r w:rsidR="00E947B9" w:rsidRPr="00FF6D9F">
        <w:rPr>
          <w:rFonts w:ascii="Times New Roman" w:hAnsi="Times New Roman" w:cs="Times New Roman"/>
          <w:sz w:val="28"/>
          <w:szCs w:val="28"/>
          <w:lang w:val="uk-UA"/>
        </w:rPr>
        <w:t>забезпечить сталий результат.</w:t>
      </w:r>
    </w:p>
    <w:p w:rsidR="00AA4B07" w:rsidRPr="00FF6D9F" w:rsidRDefault="00AA4B07" w:rsidP="00FF6D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F2F67" w:rsidRPr="00FF6D9F" w:rsidRDefault="00AA4B07" w:rsidP="00FF6D9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</w:t>
      </w:r>
    </w:p>
    <w:p w:rsidR="00AA4B07" w:rsidRPr="00FF6D9F" w:rsidRDefault="00B22832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Деякі питання</w:t>
      </w:r>
      <w:r w:rsidR="00AA4B07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у 2019/2020 н.р. безпечного освітнього середовища, формування в дітей та учнівської молоді ціннісних життєвих навичок.</w:t>
      </w:r>
    </w:p>
    <w:p w:rsidR="00AA4B07" w:rsidRPr="00FF6D9F" w:rsidRDefault="00AA4B07" w:rsidP="00FF6D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B22832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drive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google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file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Ap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C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f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EkdWcCAnjhe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38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h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TUh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p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dc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view</w:t>
        </w:r>
      </w:hyperlink>
    </w:p>
    <w:p w:rsidR="00AA4B07" w:rsidRPr="00FF6D9F" w:rsidRDefault="00AA4B07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</w:t>
      </w:r>
      <w:r w:rsidR="00EE4B11" w:rsidRPr="00FF6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B07" w:rsidRPr="00FF6D9F" w:rsidRDefault="00AA4B07" w:rsidP="00FF6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B22832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B22832" w:rsidRPr="00FF6D9F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https://zakon.rada.gov.ua/laws/show/995_021</w:t>
        </w:r>
      </w:hyperlink>
    </w:p>
    <w:p w:rsidR="00AA4B07" w:rsidRPr="00FF6D9F" w:rsidRDefault="00AA4B07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Закон України «Про внесення змін до деяких законодавчих актів України щодо протидії булінгу (цькуванню) від 18 грудня 2018 р. №2657-</w:t>
      </w:r>
      <w:r w:rsidRPr="00FF6D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6D9F">
        <w:rPr>
          <w:rFonts w:ascii="Times New Roman" w:hAnsi="Times New Roman" w:cs="Times New Roman"/>
          <w:sz w:val="28"/>
          <w:szCs w:val="28"/>
        </w:rPr>
        <w:t>.</w:t>
      </w:r>
    </w:p>
    <w:p w:rsidR="00AA4B07" w:rsidRPr="00FF6D9F" w:rsidRDefault="00AA4B07" w:rsidP="00FF6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EE4B11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https://zakon.rada.gov.ua/laws/show/2657-19</w:t>
        </w:r>
      </w:hyperlink>
    </w:p>
    <w:p w:rsidR="00EE4B11" w:rsidRPr="00FF6D9F" w:rsidRDefault="00AA4B07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Методичний посібник «Кодекс безпечного освітнього середовища».</w:t>
      </w:r>
    </w:p>
    <w:p w:rsidR="00AA4B07" w:rsidRPr="00FF6D9F" w:rsidRDefault="00AA4B07" w:rsidP="00FF6D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EE4B11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mon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gov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storage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app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media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zagalna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serednya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protidia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bulingu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/21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kbos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</w:hyperlink>
    </w:p>
    <w:p w:rsidR="00AA4B07" w:rsidRPr="00FF6D9F" w:rsidRDefault="00AA4B07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Український громадський проект масових відкритих онлайн-курсів «</w:t>
      </w:r>
      <w:r w:rsidRPr="00FF6D9F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FF6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BC1" w:rsidRPr="00D635FF" w:rsidRDefault="00AA4B07" w:rsidP="004462E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EE4B11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courses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prometheus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courses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course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1: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MON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AB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101+2019_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T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2/</w:t>
        </w:r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about</w:t>
        </w:r>
      </w:hyperlink>
    </w:p>
    <w:p w:rsidR="00632BC1" w:rsidRDefault="00632BC1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BC1">
        <w:rPr>
          <w:rFonts w:ascii="Times New Roman" w:hAnsi="Times New Roman" w:cs="Times New Roman"/>
          <w:sz w:val="28"/>
          <w:szCs w:val="28"/>
        </w:rPr>
        <w:t>Інформаційно-ресурсний центр «Дитинство без насильства»</w:t>
      </w:r>
      <w:r w:rsidR="004462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BC1" w:rsidRPr="004462E9" w:rsidRDefault="00632BC1" w:rsidP="00632BC1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4462E9" w:rsidRPr="004462E9">
          <w:rPr>
            <w:rStyle w:val="a6"/>
            <w:rFonts w:ascii="Times New Roman" w:hAnsi="Times New Roman" w:cs="Times New Roman"/>
            <w:sz w:val="28"/>
          </w:rPr>
          <w:t>https://rescentre.org.ua/novyny/protydiia-ta-poperedzhennia-bulinhu-tskuvanniu-v-zakladakh-osvity</w:t>
        </w:r>
      </w:hyperlink>
    </w:p>
    <w:p w:rsidR="00AA4B07" w:rsidRPr="00FF6D9F" w:rsidRDefault="00AA4B07" w:rsidP="00FF6D9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виявлення, реагування на випадки домашнього насильства і взаємодії педагогічних працівників з іншими органами та службами.</w:t>
      </w:r>
    </w:p>
    <w:p w:rsidR="00AA4B07" w:rsidRPr="00FF6D9F" w:rsidRDefault="00AA4B07" w:rsidP="00FF6D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D9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EE4B11" w:rsidRPr="00FF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EE4B11" w:rsidRPr="00FF6D9F">
          <w:rPr>
            <w:rStyle w:val="a6"/>
            <w:rFonts w:ascii="Times New Roman" w:hAnsi="Times New Roman" w:cs="Times New Roman"/>
            <w:sz w:val="28"/>
            <w:szCs w:val="28"/>
          </w:rPr>
          <w:t>https://mon.gov.ua/ua/npa/pro-zatverdzhennya-metodichnih-rekomendacij-shodo-viyavlennya-reaguvannya-na-vipadki-domashnogo-nasilstva-i-vzayemodiyi-pedagogichnih-pracivnikiv-iz-inshimi-organami-ta-sluzhbami</w:t>
        </w:r>
      </w:hyperlink>
    </w:p>
    <w:sectPr w:rsidR="00AA4B07" w:rsidRPr="00FF6D9F" w:rsidSect="00FF6D9F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D9" w:rsidRDefault="00F36ED9" w:rsidP="00EE4B11">
      <w:pPr>
        <w:spacing w:after="0" w:line="240" w:lineRule="auto"/>
      </w:pPr>
      <w:r>
        <w:separator/>
      </w:r>
    </w:p>
  </w:endnote>
  <w:endnote w:type="continuationSeparator" w:id="0">
    <w:p w:rsidR="00F36ED9" w:rsidRDefault="00F36ED9" w:rsidP="00EE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611657"/>
      <w:docPartObj>
        <w:docPartGallery w:val="Page Numbers (Bottom of Page)"/>
        <w:docPartUnique/>
      </w:docPartObj>
    </w:sdtPr>
    <w:sdtEndPr/>
    <w:sdtContent>
      <w:p w:rsidR="00EE4B11" w:rsidRDefault="00B70586">
        <w:pPr>
          <w:pStyle w:val="a9"/>
          <w:jc w:val="right"/>
        </w:pPr>
        <w:r w:rsidRPr="00FF6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6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6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B11" w:rsidRDefault="00EE4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D9" w:rsidRDefault="00F36ED9" w:rsidP="00EE4B11">
      <w:pPr>
        <w:spacing w:after="0" w:line="240" w:lineRule="auto"/>
      </w:pPr>
      <w:r>
        <w:separator/>
      </w:r>
    </w:p>
  </w:footnote>
  <w:footnote w:type="continuationSeparator" w:id="0">
    <w:p w:rsidR="00F36ED9" w:rsidRDefault="00F36ED9" w:rsidP="00EE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C4E"/>
    <w:multiLevelType w:val="hybridMultilevel"/>
    <w:tmpl w:val="E61E9A68"/>
    <w:lvl w:ilvl="0" w:tplc="C5C4A6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3314A3"/>
    <w:multiLevelType w:val="hybridMultilevel"/>
    <w:tmpl w:val="E67A74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16"/>
    <w:rsid w:val="00026A75"/>
    <w:rsid w:val="000E125D"/>
    <w:rsid w:val="001069EB"/>
    <w:rsid w:val="00173A04"/>
    <w:rsid w:val="00174346"/>
    <w:rsid w:val="001D09C6"/>
    <w:rsid w:val="00273072"/>
    <w:rsid w:val="002D110E"/>
    <w:rsid w:val="00365E7D"/>
    <w:rsid w:val="003C654D"/>
    <w:rsid w:val="004462E9"/>
    <w:rsid w:val="00461039"/>
    <w:rsid w:val="004D0375"/>
    <w:rsid w:val="004D5316"/>
    <w:rsid w:val="00526845"/>
    <w:rsid w:val="005C4899"/>
    <w:rsid w:val="00632BC1"/>
    <w:rsid w:val="00634965"/>
    <w:rsid w:val="00765E9C"/>
    <w:rsid w:val="007B579E"/>
    <w:rsid w:val="00835E8E"/>
    <w:rsid w:val="008B6059"/>
    <w:rsid w:val="008F2F67"/>
    <w:rsid w:val="00A67CB1"/>
    <w:rsid w:val="00AA4B07"/>
    <w:rsid w:val="00AC2CAA"/>
    <w:rsid w:val="00B22832"/>
    <w:rsid w:val="00B70586"/>
    <w:rsid w:val="00BF4AFF"/>
    <w:rsid w:val="00D635FF"/>
    <w:rsid w:val="00E25648"/>
    <w:rsid w:val="00E947B9"/>
    <w:rsid w:val="00EE4B11"/>
    <w:rsid w:val="00F36ED9"/>
    <w:rsid w:val="00F51979"/>
    <w:rsid w:val="00FD244A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8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4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B11"/>
  </w:style>
  <w:style w:type="paragraph" w:styleId="a9">
    <w:name w:val="footer"/>
    <w:basedOn w:val="a"/>
    <w:link w:val="aa"/>
    <w:uiPriority w:val="99"/>
    <w:unhideWhenUsed/>
    <w:rsid w:val="00EE4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8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4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B11"/>
  </w:style>
  <w:style w:type="paragraph" w:styleId="a9">
    <w:name w:val="footer"/>
    <w:basedOn w:val="a"/>
    <w:link w:val="aa"/>
    <w:uiPriority w:val="99"/>
    <w:unhideWhenUsed/>
    <w:rsid w:val="00EE4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n.gov.ua/storage/app/media/zagalna%20serednya/protidia-bulingu/21kbos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657-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95_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centre.org.ua/novyny/protydiia-ta-poperedzhennia-bulinhu-tskuvanniu-v-zakladakh-osvity" TargetMode="External"/><Relationship Id="rId10" Type="http://schemas.openxmlformats.org/officeDocument/2006/relationships/hyperlink" Target="https://drive.google.com/file/d/1Ap6C0f7v3EkdWcCAnjhe38h5TUh6p-dc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urses.prometheus.org.ua/courses/course-v1:MON+AB101+2019_T2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2019-11-14T18:46:00Z</dcterms:created>
  <dcterms:modified xsi:type="dcterms:W3CDTF">2019-11-14T18:46:00Z</dcterms:modified>
</cp:coreProperties>
</file>